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7" w:type="dxa"/>
        <w:jc w:val="center"/>
        <w:tblLayout w:type="fixed"/>
        <w:tblLook w:val="04A0" w:firstRow="1" w:lastRow="0" w:firstColumn="1" w:lastColumn="0" w:noHBand="0" w:noVBand="1"/>
      </w:tblPr>
      <w:tblGrid>
        <w:gridCol w:w="3544"/>
        <w:gridCol w:w="5883"/>
      </w:tblGrid>
      <w:tr w:rsidR="00D76087" w:rsidTr="008921D1">
        <w:trPr>
          <w:jc w:val="center"/>
        </w:trPr>
        <w:tc>
          <w:tcPr>
            <w:tcW w:w="3544" w:type="dxa"/>
            <w:tcMar>
              <w:top w:w="60" w:type="dxa"/>
              <w:left w:w="60" w:type="dxa"/>
              <w:bottom w:w="0" w:type="dxa"/>
              <w:right w:w="60" w:type="dxa"/>
            </w:tcMar>
          </w:tcPr>
          <w:p w:rsidR="00D76087" w:rsidRDefault="008921D1">
            <w:pPr>
              <w:spacing w:after="0" w:line="240" w:lineRule="auto"/>
              <w:jc w:val="center"/>
            </w:pPr>
            <w:bookmarkStart w:id="0" w:name="_GoBack"/>
            <w:bookmarkEnd w:id="0"/>
            <w:r>
              <w:rPr>
                <w:b/>
              </w:rPr>
              <w:t xml:space="preserve">UBND </w:t>
            </w:r>
            <w:r w:rsidR="00393A09">
              <w:rPr>
                <w:b/>
              </w:rPr>
              <w:t>T</w:t>
            </w:r>
            <w:r>
              <w:rPr>
                <w:b/>
              </w:rPr>
              <w:t>P</w:t>
            </w:r>
            <w:r w:rsidR="00393A09">
              <w:rPr>
                <w:b/>
              </w:rPr>
              <w:t xml:space="preserve"> HÀ NỘI</w:t>
            </w:r>
          </w:p>
          <w:p w:rsidR="008921D1" w:rsidRDefault="00393A09" w:rsidP="008921D1">
            <w:pPr>
              <w:spacing w:after="0" w:line="240" w:lineRule="auto"/>
              <w:jc w:val="center"/>
              <w:rPr>
                <w:b/>
              </w:rPr>
            </w:pPr>
            <w:r>
              <w:rPr>
                <w:b/>
              </w:rPr>
              <w:t>SỞ NÔNG NGHIỆP VÀ</w:t>
            </w:r>
            <w:r w:rsidR="008921D1">
              <w:rPr>
                <w:b/>
              </w:rPr>
              <w:t xml:space="preserve"> MT</w:t>
            </w:r>
            <w:r>
              <w:rPr>
                <w:b/>
              </w:rPr>
              <w:t xml:space="preserve"> </w:t>
            </w:r>
          </w:p>
          <w:p w:rsidR="00D76087" w:rsidRDefault="008921D1" w:rsidP="008921D1">
            <w:pPr>
              <w:spacing w:before="120" w:after="0" w:line="240"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222249</wp:posOffset>
                      </wp:positionH>
                      <wp:positionV relativeFrom="paragraph">
                        <wp:posOffset>22860</wp:posOffset>
                      </wp:positionV>
                      <wp:extent cx="1743075" cy="9525"/>
                      <wp:effectExtent l="38100" t="38100" r="66675" b="85725"/>
                      <wp:wrapNone/>
                      <wp:docPr id="1" name="Straight Connector 1"/>
                      <wp:cNvGraphicFramePr/>
                      <a:graphic xmlns:a="http://schemas.openxmlformats.org/drawingml/2006/main">
                        <a:graphicData uri="http://schemas.microsoft.com/office/word/2010/wordprocessingShape">
                          <wps:wsp>
                            <wps:cNvCnPr/>
                            <wps:spPr>
                              <a:xfrm flipV="1">
                                <a:off x="0" y="0"/>
                                <a:ext cx="174307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D1DD0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5pt,1.8pt" to="154.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" strokecolor="#4f81bd [3204]" strokeweight="2pt">
                      <v:shadow on="t" color="black" opacity="24903f" origin=",.5" offset="0,.55556mm"/>
                    </v:line>
                  </w:pict>
                </mc:Fallback>
              </mc:AlternateContent>
            </w:r>
            <w:r w:rsidR="00393A09">
              <w:t>Số:           /BC-SNNMT</w:t>
            </w:r>
          </w:p>
          <w:p w:rsidR="00D76087" w:rsidRDefault="00D76087">
            <w:pPr>
              <w:spacing w:before="40" w:after="0"/>
              <w:jc w:val="center"/>
            </w:pPr>
          </w:p>
        </w:tc>
        <w:tc>
          <w:tcPr>
            <w:tcW w:w="5883" w:type="dxa"/>
            <w:tcMar>
              <w:top w:w="60" w:type="dxa"/>
              <w:left w:w="60" w:type="dxa"/>
              <w:bottom w:w="0" w:type="dxa"/>
              <w:right w:w="60" w:type="dxa"/>
            </w:tcMar>
          </w:tcPr>
          <w:p w:rsidR="00D76087" w:rsidRDefault="00393A09">
            <w:pPr>
              <w:spacing w:after="0" w:line="240" w:lineRule="auto"/>
              <w:jc w:val="center"/>
            </w:pPr>
            <w:r>
              <w:rPr>
                <w:b/>
              </w:rPr>
              <w:t>CỘNG HÒA XÃ HỘI CHỦ NGHĨA VIỆT NAM</w:t>
            </w:r>
          </w:p>
          <w:p w:rsidR="00D76087" w:rsidRDefault="00393A09">
            <w:pPr>
              <w:spacing w:after="0" w:line="240" w:lineRule="auto"/>
              <w:jc w:val="center"/>
            </w:pPr>
            <w:r>
              <w:t>Độc lập - Tự do - Hạnh phúc</w:t>
            </w:r>
          </w:p>
          <w:p w:rsidR="00D76087" w:rsidRDefault="008921D1" w:rsidP="008921D1">
            <w:pPr>
              <w:spacing w:before="120" w:after="0"/>
              <w:jc w:val="center"/>
            </w:pPr>
            <w:r>
              <w:rPr>
                <w:noProof/>
              </w:rPr>
              <mc:AlternateContent>
                <mc:Choice Requires="wps">
                  <w:drawing>
                    <wp:anchor distT="0" distB="0" distL="114300" distR="114300" simplePos="0" relativeHeight="251661312" behindDoc="0" locked="0" layoutInCell="1" allowOverlap="1" wp14:anchorId="092C363A" wp14:editId="0028F224">
                      <wp:simplePos x="0" y="0"/>
                      <wp:positionH relativeFrom="column">
                        <wp:posOffset>952500</wp:posOffset>
                      </wp:positionH>
                      <wp:positionV relativeFrom="paragraph">
                        <wp:posOffset>22860</wp:posOffset>
                      </wp:positionV>
                      <wp:extent cx="1743075" cy="9525"/>
                      <wp:effectExtent l="38100" t="38100" r="66675" b="85725"/>
                      <wp:wrapNone/>
                      <wp:docPr id="2" name="Straight Connector 2"/>
                      <wp:cNvGraphicFramePr/>
                      <a:graphic xmlns:a="http://schemas.openxmlformats.org/drawingml/2006/main">
                        <a:graphicData uri="http://schemas.microsoft.com/office/word/2010/wordprocessingShape">
                          <wps:wsp>
                            <wps:cNvCnPr/>
                            <wps:spPr>
                              <a:xfrm flipV="1">
                                <a:off x="0" y="0"/>
                                <a:ext cx="174307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396805"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1.8pt" to="212.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" strokecolor="#4f81bd [3204]" strokeweight="2pt">
                      <v:shadow on="t" color="black" opacity="24903f" origin=",.5" offset="0,.55556mm"/>
                    </v:line>
                  </w:pict>
                </mc:Fallback>
              </mc:AlternateContent>
            </w:r>
            <w:r w:rsidR="00393A09">
              <w:rPr>
                <w:i/>
              </w:rPr>
              <w:t>Hà Nội, ngày      tháng      năm 2026</w:t>
            </w:r>
          </w:p>
        </w:tc>
      </w:tr>
    </w:tbl>
    <w:p w:rsidR="00D76087" w:rsidRDefault="00D76087"/>
    <w:p w:rsidR="00D76087" w:rsidRPr="004E6DE0" w:rsidRDefault="00393A09">
      <w:pPr>
        <w:spacing w:after="120"/>
        <w:jc w:val="center"/>
        <w:rPr>
          <w:sz w:val="28"/>
          <w:szCs w:val="28"/>
        </w:rPr>
      </w:pPr>
      <w:r w:rsidRPr="004E6DE0">
        <w:rPr>
          <w:b/>
          <w:sz w:val="28"/>
          <w:szCs w:val="28"/>
        </w:rPr>
        <w:t>BÁO CÁO ĐÁNH GIÁ TÁC ĐỘNG CHÍNH SÁCH</w:t>
      </w:r>
    </w:p>
    <w:p w:rsidR="00D76087" w:rsidRPr="004E6DE0" w:rsidRDefault="00393A09">
      <w:pPr>
        <w:spacing w:before="60" w:after="120"/>
        <w:jc w:val="center"/>
        <w:rPr>
          <w:b/>
          <w:bCs/>
          <w:iCs/>
          <w:sz w:val="28"/>
          <w:szCs w:val="28"/>
        </w:rPr>
      </w:pPr>
      <w:r w:rsidRPr="004E6DE0">
        <w:rPr>
          <w:b/>
          <w:bCs/>
          <w:iCs/>
          <w:sz w:val="28"/>
          <w:szCs w:val="28"/>
        </w:rPr>
        <w:t>Đối với dự thảo Nghị quyết của Hội đồng nhân dân thành phố Hà Nội</w:t>
      </w:r>
      <w:r w:rsidRPr="004E6DE0">
        <w:rPr>
          <w:b/>
          <w:bCs/>
          <w:iCs/>
          <w:sz w:val="28"/>
          <w:szCs w:val="28"/>
        </w:rPr>
        <w:br/>
        <w:t>quy định về quản lý, bảo vệ, khai thác, sử dụng và phát triển bền vững</w:t>
      </w:r>
      <w:r w:rsidRPr="004E6DE0">
        <w:rPr>
          <w:b/>
          <w:bCs/>
          <w:iCs/>
          <w:sz w:val="28"/>
          <w:szCs w:val="28"/>
        </w:rPr>
        <w:br/>
        <w:t>toàn bộ diện tích rừng trên địa bàn thành phố Hà Nội</w:t>
      </w:r>
    </w:p>
    <w:p w:rsidR="00393A09" w:rsidRPr="004E6DE0" w:rsidRDefault="00393A09">
      <w:pPr>
        <w:spacing w:before="60" w:after="120"/>
        <w:jc w:val="center"/>
        <w:rPr>
          <w:b/>
          <w:bCs/>
          <w:iCs/>
          <w:sz w:val="28"/>
          <w:szCs w:val="28"/>
          <w:u w:val="single"/>
        </w:rPr>
      </w:pPr>
    </w:p>
    <w:p w:rsidR="00D76087" w:rsidRPr="004E6DE0" w:rsidRDefault="00393A09" w:rsidP="004E6DE0">
      <w:pPr>
        <w:keepNext/>
        <w:spacing w:before="180" w:after="60"/>
        <w:ind w:firstLine="709"/>
        <w:rPr>
          <w:sz w:val="28"/>
          <w:szCs w:val="28"/>
        </w:rPr>
      </w:pPr>
      <w:r w:rsidRPr="004E6DE0">
        <w:rPr>
          <w:b/>
          <w:sz w:val="28"/>
          <w:szCs w:val="28"/>
        </w:rPr>
        <w:t>I. SỰ CẦN THIẾT ĐÁNH GIÁ TÁC ĐỘNG CHÍNH SÁCH</w:t>
      </w:r>
    </w:p>
    <w:p w:rsidR="00D76087" w:rsidRPr="004E6DE0" w:rsidRDefault="00393A09" w:rsidP="004E6DE0">
      <w:pPr>
        <w:spacing w:after="60"/>
        <w:ind w:firstLine="709"/>
        <w:jc w:val="both"/>
        <w:rPr>
          <w:sz w:val="28"/>
          <w:szCs w:val="28"/>
        </w:rPr>
      </w:pPr>
      <w:r w:rsidRPr="004E6DE0">
        <w:rPr>
          <w:sz w:val="28"/>
          <w:szCs w:val="28"/>
        </w:rPr>
        <w:t>Việc ban hành nghị quyết liên quan đến toàn bộ diện tích rừng trên địa bàn thành phố Hà Nội, sử dụng ngân sách Thành phố và điều chỉnh quan hệ giữa nghị quyết mới với Nghị quyết số 54/2025/NQ-HĐND; do đó cần đánh giá đầy đủ tác động của các chính sách để làm căn cứ lựa chọn phương án phù hợp.</w:t>
      </w:r>
    </w:p>
    <w:p w:rsidR="00D76087" w:rsidRPr="004E6DE0" w:rsidRDefault="00393A09" w:rsidP="004E6DE0">
      <w:pPr>
        <w:spacing w:after="60"/>
        <w:ind w:firstLine="709"/>
        <w:jc w:val="both"/>
        <w:rPr>
          <w:sz w:val="28"/>
          <w:szCs w:val="28"/>
        </w:rPr>
      </w:pPr>
      <w:r w:rsidRPr="004E6DE0">
        <w:rPr>
          <w:sz w:val="28"/>
          <w:szCs w:val="28"/>
        </w:rPr>
        <w:t>Quá trình rà soát cho thấy hệ thống nguyên tắc, điều kiện, hồ sơ, trình tự, thủ tục, thẩm quyền chuyên ngành về quản lý rừng đã được pháp luật lâm nghiệp quy định khá đầy đủ, trước hết là tại Luật Lâm nghiệp và Nghị định số 156/2018/NĐ-CP. Vì vậy, báo cáo tập trung đánh giá tác động của phương án chỉnh lý hồ sơ theo hướng: các nội dung quản lý chuyên ngành được thực hiện thống nhất theo pháp luật lâm nghiệp hiện hành; chính sách, mức hỗ trợ, mức chi kế thừa Nghị quyết số 54/2025/NQ-HĐND và chỉ bổ sung những nội dung mới cần thiết của Hà Nội.</w:t>
      </w:r>
    </w:p>
    <w:p w:rsidR="00D76087" w:rsidRPr="004E6DE0" w:rsidRDefault="00393A09" w:rsidP="004E6DE0">
      <w:pPr>
        <w:keepNext/>
        <w:spacing w:before="180" w:after="60"/>
        <w:ind w:firstLine="709"/>
        <w:rPr>
          <w:sz w:val="28"/>
          <w:szCs w:val="28"/>
        </w:rPr>
      </w:pPr>
      <w:r w:rsidRPr="004E6DE0">
        <w:rPr>
          <w:b/>
          <w:sz w:val="28"/>
          <w:szCs w:val="28"/>
        </w:rPr>
        <w:t>II. CÁC VẤN ĐỀ CHÍNH SÁCH CẦN GIẢI QUYẾT</w:t>
      </w:r>
    </w:p>
    <w:p w:rsidR="00D76087" w:rsidRPr="004E6DE0" w:rsidRDefault="00393A09" w:rsidP="004E6DE0">
      <w:pPr>
        <w:spacing w:after="60"/>
        <w:ind w:firstLine="709"/>
        <w:jc w:val="both"/>
        <w:rPr>
          <w:sz w:val="28"/>
          <w:szCs w:val="28"/>
        </w:rPr>
      </w:pPr>
      <w:r w:rsidRPr="004E6DE0">
        <w:rPr>
          <w:sz w:val="28"/>
          <w:szCs w:val="28"/>
        </w:rPr>
        <w:t>1. Xác định tên gọi, phạm vi điều chỉnh và kỹ thuật lập pháp của nghị quyết sao cho bao quát toàn bộ diện tích rừng của Hà Nội nhưng không trùng lặp hoặc vượt thẩm quyền so với pháp luật lâm nghiệp hiện hành.</w:t>
      </w:r>
    </w:p>
    <w:p w:rsidR="00D76087" w:rsidRPr="004E6DE0" w:rsidRDefault="00393A09" w:rsidP="004E6DE0">
      <w:pPr>
        <w:spacing w:after="60"/>
        <w:ind w:firstLine="709"/>
        <w:jc w:val="both"/>
        <w:rPr>
          <w:sz w:val="28"/>
          <w:szCs w:val="28"/>
        </w:rPr>
      </w:pPr>
      <w:r w:rsidRPr="004E6DE0">
        <w:rPr>
          <w:sz w:val="28"/>
          <w:szCs w:val="28"/>
        </w:rPr>
        <w:t>2. Làm rõ mối quan hệ giữa nghị quyết mới với Nghị quyết số 54/2025/NQ-HĐND, bảo đảm kế thừa các chính sách, mức hỗ trợ, mức chi đang còn phù hợp và tránh khoảng trống pháp lý.</w:t>
      </w:r>
    </w:p>
    <w:p w:rsidR="00D76087" w:rsidRPr="004E6DE0" w:rsidRDefault="00393A09" w:rsidP="004E6DE0">
      <w:pPr>
        <w:spacing w:after="60"/>
        <w:ind w:firstLine="709"/>
        <w:jc w:val="both"/>
        <w:rPr>
          <w:sz w:val="28"/>
          <w:szCs w:val="28"/>
        </w:rPr>
      </w:pPr>
      <w:r w:rsidRPr="004E6DE0">
        <w:rPr>
          <w:sz w:val="28"/>
          <w:szCs w:val="28"/>
        </w:rPr>
        <w:t>3. Đánh giá tính cần thiết của việc bổ sung các nội dung mới: hỗ trợ rừng sản xuất là rừng tự nhiên; hỗ trợ bổ sung cho lực lượng chữa cháy rừng; chuyển đổi số trong quản lý rừng; du lịch sinh thái dưới tán rừng; hỗ trợ tín dụng; sinh kế vùng đệm.</w:t>
      </w:r>
    </w:p>
    <w:p w:rsidR="00D76087" w:rsidRPr="004E6DE0" w:rsidRDefault="00393A09" w:rsidP="004E6DE0">
      <w:pPr>
        <w:keepNext/>
        <w:spacing w:before="180" w:after="60"/>
        <w:ind w:firstLine="709"/>
        <w:rPr>
          <w:sz w:val="28"/>
          <w:szCs w:val="28"/>
        </w:rPr>
      </w:pPr>
      <w:r w:rsidRPr="004E6DE0">
        <w:rPr>
          <w:b/>
          <w:sz w:val="28"/>
          <w:szCs w:val="28"/>
        </w:rPr>
        <w:lastRenderedPageBreak/>
        <w:t>III. PHƯƠNG ÁN CHÍNH SÁCH ĐƯỢC XEM XÉT</w:t>
      </w:r>
    </w:p>
    <w:p w:rsidR="00D76087" w:rsidRPr="004E6DE0" w:rsidRDefault="00393A09" w:rsidP="004E6DE0">
      <w:pPr>
        <w:spacing w:after="60"/>
        <w:ind w:firstLine="709"/>
        <w:jc w:val="both"/>
        <w:rPr>
          <w:sz w:val="28"/>
          <w:szCs w:val="28"/>
        </w:rPr>
      </w:pPr>
      <w:r w:rsidRPr="004E6DE0">
        <w:rPr>
          <w:sz w:val="28"/>
          <w:szCs w:val="28"/>
        </w:rPr>
        <w:t>Phương án 1: Tiếp tục thiết kế nghị quyết theo hướng vừa quy định tên gọi rộng, vừa lặp lại phần lớn các nguyên tắc, hồ sơ, trình tự, thủ tục, thẩm quyền chuyên ngành đã được Nghị định số 156/2018/NĐ-CP điều chỉnh. Phương án này có ưu điểm là trình bày đầy đủ trong một văn bản, nhưng nhược điểm lớn là dễ trùng lặp, dễ phát sinh nguy cơ vượt thẩm quyền hoặc mâu thuẫn với pháp luật trung ương.</w:t>
      </w:r>
    </w:p>
    <w:p w:rsidR="00D76087" w:rsidRPr="004E6DE0" w:rsidRDefault="00393A09" w:rsidP="004E6DE0">
      <w:pPr>
        <w:spacing w:after="60"/>
        <w:ind w:firstLine="709"/>
        <w:jc w:val="both"/>
        <w:rPr>
          <w:sz w:val="28"/>
          <w:szCs w:val="28"/>
        </w:rPr>
      </w:pPr>
      <w:r w:rsidRPr="004E6DE0">
        <w:rPr>
          <w:sz w:val="28"/>
          <w:szCs w:val="28"/>
        </w:rPr>
        <w:t>Phương án 2 (được lựa chọn): Chỉnh lý nghị quyết theo hướng tên gọi bao quát toàn bộ diện tích rừng của Hà Nội, nhưng các nội dung quản lý chuyên ngành được thực hiện thống nhất theo Luật Lâm nghiệp, Nghị định số 156/2018/NĐ-CP và các văn bản sửa đổi, bổ sung; nghị quyết chỉ tập trung quy định các chính sách hỗ trợ, mức hỗ trợ, mức chi, nguồn kinh phí và trách nhiệm tổ chức thực hiện thuộc thẩm quyền của Hội đồng nhân dân Thành phố; đồng thời kế thừa Nghị quyết số 54/2025/NQ-HĐND và bổ sung một số nội dung mới cần thiết.</w:t>
      </w:r>
    </w:p>
    <w:p w:rsidR="00D76087" w:rsidRPr="004E6DE0" w:rsidRDefault="00393A09" w:rsidP="004E6DE0">
      <w:pPr>
        <w:spacing w:after="60"/>
        <w:ind w:firstLine="709"/>
        <w:jc w:val="both"/>
        <w:rPr>
          <w:sz w:val="28"/>
          <w:szCs w:val="28"/>
        </w:rPr>
      </w:pPr>
      <w:r w:rsidRPr="004E6DE0">
        <w:rPr>
          <w:sz w:val="28"/>
          <w:szCs w:val="28"/>
        </w:rPr>
        <w:t>Phương án 2 được đánh giá phù hợp hơn về pháp lý, rõ hơn về kỹ thuật lập pháp và thuận lợi hơn trong quá trình tổ chức thực hiện.</w:t>
      </w:r>
    </w:p>
    <w:p w:rsidR="00D76087" w:rsidRPr="004E6DE0" w:rsidRDefault="00393A09" w:rsidP="004E6DE0">
      <w:pPr>
        <w:keepNext/>
        <w:spacing w:before="180" w:after="60"/>
        <w:ind w:firstLine="709"/>
        <w:rPr>
          <w:sz w:val="28"/>
          <w:szCs w:val="28"/>
        </w:rPr>
      </w:pPr>
      <w:r w:rsidRPr="004E6DE0">
        <w:rPr>
          <w:b/>
          <w:sz w:val="28"/>
          <w:szCs w:val="28"/>
        </w:rPr>
        <w:t>IV. ĐÁNH GIÁ TÁC ĐỘNG CỦA PHƯƠNG ÁN ĐƯỢC LỰA CHỌN</w:t>
      </w:r>
    </w:p>
    <w:p w:rsidR="00D76087" w:rsidRPr="004E6DE0" w:rsidRDefault="00393A09" w:rsidP="004E6DE0">
      <w:pPr>
        <w:spacing w:after="60"/>
        <w:ind w:firstLine="709"/>
        <w:jc w:val="both"/>
        <w:rPr>
          <w:sz w:val="28"/>
          <w:szCs w:val="28"/>
        </w:rPr>
      </w:pPr>
      <w:r w:rsidRPr="004E6DE0">
        <w:rPr>
          <w:sz w:val="28"/>
          <w:szCs w:val="28"/>
        </w:rPr>
        <w:t>1. Tác động về kinh tế: phương án được lựa chọn giúp tiết kiệm chi phí tuân thủ pháp luật do không phải xây dựng và vận hành một cơ chế quản lý riêng khác với Nghị định số 156/2018/NĐ-CP. Việc kế thừa Nghị quyết số 54/2025/NQ-HĐND giảm chi phí chuyển đổi chính sách, đồng thời cho phép tập trung nguồn lực ngân sách vào những nội dung mới thật sự cần thiết như hỗ trợ rừng sản xuất là rừng tự nhiên, chuyển đổi số, du lịch sinh thái dưới tán rừng và sinh kế vùng đệm.</w:t>
      </w:r>
    </w:p>
    <w:p w:rsidR="00D76087" w:rsidRPr="004E6DE0" w:rsidRDefault="00393A09" w:rsidP="004E6DE0">
      <w:pPr>
        <w:spacing w:after="60"/>
        <w:ind w:firstLine="709"/>
        <w:jc w:val="both"/>
        <w:rPr>
          <w:sz w:val="28"/>
          <w:szCs w:val="28"/>
        </w:rPr>
      </w:pPr>
      <w:r w:rsidRPr="004E6DE0">
        <w:rPr>
          <w:sz w:val="28"/>
          <w:szCs w:val="28"/>
        </w:rPr>
        <w:t>2. Tác động về xã hội: phương án này làm rõ phạm vi hỗ trợ, đối tượng hưởng lợi, điều kiện áp dụng và trách nhiệm của từng chủ thể; góp phần nâng cao hiệu quả bảo vệ rừng, giảm nguy cơ cháy rừng, tăng cường sinh kế cho người dân vùng đệm và phát huy giá trị đa dụng của rừng gắn với bảo tồn thiên nhiên và giáo dục môi trường.</w:t>
      </w:r>
    </w:p>
    <w:p w:rsidR="00D76087" w:rsidRPr="004E6DE0" w:rsidRDefault="00393A09" w:rsidP="004E6DE0">
      <w:pPr>
        <w:spacing w:after="60"/>
        <w:ind w:firstLine="709"/>
        <w:jc w:val="both"/>
        <w:rPr>
          <w:sz w:val="28"/>
          <w:szCs w:val="28"/>
        </w:rPr>
      </w:pPr>
      <w:r w:rsidRPr="004E6DE0">
        <w:rPr>
          <w:sz w:val="28"/>
          <w:szCs w:val="28"/>
        </w:rPr>
        <w:t>3. Tác động về môi trường: việc duy trì nguyên tắc quản lý theo Nghị định số 156/2018/NĐ-CP và chỉ hỗ trợ các hạng mục trực tiếp gắn với bảo vệ rừng, bảo tồn thiên nhiên, giáo dục môi trường, vệ sinh môi trường, phòng cháy và chữa cháy rừng và chuyển đổi số giúp hạn chế nguy cơ thương mại hóa rừng, chia cắt hệ sinh thái hoặc suy giảm mục tiêu bảo tồn.</w:t>
      </w:r>
    </w:p>
    <w:p w:rsidR="00D76087" w:rsidRPr="004E6DE0" w:rsidRDefault="00393A09" w:rsidP="004E6DE0">
      <w:pPr>
        <w:spacing w:after="60"/>
        <w:ind w:firstLine="709"/>
        <w:jc w:val="both"/>
        <w:rPr>
          <w:sz w:val="28"/>
          <w:szCs w:val="28"/>
        </w:rPr>
      </w:pPr>
      <w:r w:rsidRPr="004E6DE0">
        <w:rPr>
          <w:sz w:val="28"/>
          <w:szCs w:val="28"/>
        </w:rPr>
        <w:t xml:space="preserve">4. Tác động đến ngân sách nhà nước: dự thảo không làm phát sinh một cơ chế chi hoàn toàn mới thay thế Nghị quyết số 54/2025/NQ-HĐND, mà chủ yếu kế thừa các chính sách đã có và bổ sung một số nội dung cần thiết theo Nghị định số </w:t>
      </w:r>
      <w:r w:rsidRPr="004E6DE0">
        <w:rPr>
          <w:sz w:val="28"/>
          <w:szCs w:val="28"/>
        </w:rPr>
        <w:lastRenderedPageBreak/>
        <w:t>42/2026/NĐ-CP và yêu cầu đặc thù của Hà Nội. Điều này tạo điều kiện để bố trí kinh phí theo lộ trình và trong khả năng cân đối của ngân sách Thành phố.</w:t>
      </w:r>
    </w:p>
    <w:p w:rsidR="00D76087" w:rsidRPr="004E6DE0" w:rsidRDefault="00393A09" w:rsidP="004E6DE0">
      <w:pPr>
        <w:spacing w:after="60"/>
        <w:ind w:firstLine="709"/>
        <w:jc w:val="both"/>
        <w:rPr>
          <w:sz w:val="28"/>
          <w:szCs w:val="28"/>
        </w:rPr>
      </w:pPr>
      <w:r w:rsidRPr="004E6DE0">
        <w:rPr>
          <w:sz w:val="28"/>
          <w:szCs w:val="28"/>
        </w:rPr>
        <w:t>5. Tác động đến hệ thống pháp luật: phương án được lựa chọn giúp tăng tính thống nhất của hệ thống pháp luật, hạn chế trùng lặp, giảm nguy cơ xung đột giữa nghị quyết của địa phương với pháp luật trung ương; đồng thời bảo đảm tính kế thừa đối với Nghị quyết số 54/2025/NQ-HĐND.</w:t>
      </w:r>
    </w:p>
    <w:p w:rsidR="00D76087" w:rsidRPr="004E6DE0" w:rsidRDefault="00393A09" w:rsidP="004E6DE0">
      <w:pPr>
        <w:spacing w:after="60"/>
        <w:ind w:firstLine="709"/>
        <w:jc w:val="both"/>
        <w:rPr>
          <w:sz w:val="28"/>
          <w:szCs w:val="28"/>
        </w:rPr>
      </w:pPr>
      <w:r w:rsidRPr="004E6DE0">
        <w:rPr>
          <w:sz w:val="28"/>
          <w:szCs w:val="28"/>
        </w:rPr>
        <w:t>6. Tác động đối với cải cách thủ tục hành chính: phương án này không đặt ra thủ tục hành chính mới; các hồ sơ, trình tự, thủ tục, thẩm quyền chuyên ngành tiếp tục thực hiện theo pháp luật lâm nghiệp hiện hành và các văn bản hướng dẫn. Trên cơ sở đó, dự thảo chỉ làm rõ nguyên tắc áp dụng và chính sách hỗ trợ.</w:t>
      </w:r>
    </w:p>
    <w:p w:rsidR="00D76087" w:rsidRPr="004E6DE0" w:rsidRDefault="00393A09" w:rsidP="004E6DE0">
      <w:pPr>
        <w:keepNext/>
        <w:spacing w:before="180" w:after="60"/>
        <w:ind w:firstLine="709"/>
        <w:rPr>
          <w:sz w:val="28"/>
          <w:szCs w:val="28"/>
        </w:rPr>
      </w:pPr>
      <w:r w:rsidRPr="004E6DE0">
        <w:rPr>
          <w:b/>
          <w:sz w:val="28"/>
          <w:szCs w:val="28"/>
        </w:rPr>
        <w:t>V. ĐÁNH GIÁ TÁC ĐỘNG THEO TỪNG NHÓM CHÍNH SÁCH</w:t>
      </w:r>
    </w:p>
    <w:p w:rsidR="00D76087" w:rsidRPr="004E6DE0" w:rsidRDefault="00393A09">
      <w:pPr>
        <w:spacing w:after="60"/>
        <w:ind w:firstLine="709"/>
        <w:jc w:val="both"/>
        <w:rPr>
          <w:sz w:val="28"/>
          <w:szCs w:val="28"/>
        </w:rPr>
      </w:pPr>
      <w:r w:rsidRPr="004E6DE0">
        <w:rPr>
          <w:sz w:val="28"/>
          <w:szCs w:val="28"/>
        </w:rPr>
        <w:t>1. Nhóm chính sách về bảo vệ rừng, phòng cháy và chữa cháy rừng, chuyển đổi số: tác động tích cực chủ yếu là tăng cường năng lực trực, cảnh báo sớm, giám sát số, hỗ trợ lực lượng tham gia chữa cháy rừng, nâng cao hiệu quả quản lý rừng sản xuất là rừng tự nhiên. Tác động ngân sách tăng thêm chủ yếu tập trung ở giai đoạn đầu tư thiết bị, hệ thống số và hỗ trợ bổ sung cho chữa cháy rừng.</w:t>
      </w:r>
    </w:p>
    <w:p w:rsidR="00D76087" w:rsidRPr="004E6DE0" w:rsidRDefault="00393A09">
      <w:pPr>
        <w:spacing w:after="60"/>
        <w:ind w:firstLine="709"/>
        <w:jc w:val="both"/>
        <w:rPr>
          <w:sz w:val="28"/>
          <w:szCs w:val="28"/>
        </w:rPr>
      </w:pPr>
      <w:r w:rsidRPr="004E6DE0">
        <w:rPr>
          <w:sz w:val="28"/>
          <w:szCs w:val="28"/>
        </w:rPr>
        <w:t>2. Nhóm chính sách về phát triển rừng: tác động tích cực là cải thiện chất lượng rừng, thúc đẩy khoanh nuôi xúc tiến tái sinh tự nhiên, phục hồi hệ sinh thái, tăng diện tích cây xanh và nâng cao khả năng phòng hộ. Tác động ngân sách phụ thuộc vào quy mô nhiệm vụ, dự án được phê duyệt từng năm.</w:t>
      </w:r>
    </w:p>
    <w:p w:rsidR="00D76087" w:rsidRPr="004E6DE0" w:rsidRDefault="00393A09">
      <w:pPr>
        <w:spacing w:after="60"/>
        <w:ind w:firstLine="709"/>
        <w:jc w:val="both"/>
        <w:rPr>
          <w:sz w:val="28"/>
          <w:szCs w:val="28"/>
        </w:rPr>
      </w:pPr>
      <w:r w:rsidRPr="004E6DE0">
        <w:rPr>
          <w:sz w:val="28"/>
          <w:szCs w:val="28"/>
        </w:rPr>
        <w:t>3. Nhóm chính sách về du lịch sinh thái dưới tán rừng và hỗ trợ tín dụng: tác động tích cực là tạo động lực phát huy giá trị đa dụng của rừng, tăng nguồn lực xã hội hóa, phát triển sinh kế cộng đồng, giáo dục môi trường và du lịch đặc thù của Hà Nội. Tác động rủi ro được kiểm soát thông qua điều kiện chặt chẽ về phương án quản lý rừng bền vững, giới hạn công trình, công khai cho thuê môi trường rừng, đánh giá định kỳ, chấm dứt khi không triển khai đúng quy định và nguyên tắc không hỗ trợ hạng mục thương mại thuần túy.</w:t>
      </w:r>
    </w:p>
    <w:p w:rsidR="00D76087" w:rsidRPr="004E6DE0" w:rsidRDefault="00393A09">
      <w:pPr>
        <w:spacing w:after="60"/>
        <w:ind w:firstLine="709"/>
        <w:jc w:val="both"/>
        <w:rPr>
          <w:sz w:val="28"/>
          <w:szCs w:val="28"/>
        </w:rPr>
      </w:pPr>
      <w:r w:rsidRPr="004E6DE0">
        <w:rPr>
          <w:sz w:val="28"/>
          <w:szCs w:val="28"/>
        </w:rPr>
        <w:t>4. Nhóm chính sách về những hoạt động mang tính chất chuyên ngành khác: tác động tích cực là tăng cường bảo tồn đa dạng sinh học, hỗ trợ sinh kế vùng đệm, phát triển dược liệu và lâm sản ngoài gỗ dưới tán rừng, số hóa dữ liệu.</w:t>
      </w:r>
    </w:p>
    <w:p w:rsidR="00D76087" w:rsidRPr="004E6DE0" w:rsidRDefault="00393A09">
      <w:pPr>
        <w:keepNext/>
        <w:spacing w:before="180" w:after="60"/>
        <w:ind w:firstLine="709"/>
        <w:rPr>
          <w:sz w:val="28"/>
          <w:szCs w:val="28"/>
        </w:rPr>
      </w:pPr>
      <w:r w:rsidRPr="004E6DE0">
        <w:rPr>
          <w:b/>
          <w:sz w:val="28"/>
          <w:szCs w:val="28"/>
        </w:rPr>
        <w:t>VI. KẾT LUẬN VÀ KIẾN NGHỊ</w:t>
      </w:r>
    </w:p>
    <w:p w:rsidR="00D76087" w:rsidRPr="004E6DE0" w:rsidRDefault="00393A09">
      <w:pPr>
        <w:spacing w:after="60"/>
        <w:ind w:firstLine="709"/>
        <w:jc w:val="both"/>
        <w:rPr>
          <w:sz w:val="28"/>
          <w:szCs w:val="28"/>
        </w:rPr>
      </w:pPr>
      <w:r w:rsidRPr="004E6DE0">
        <w:rPr>
          <w:sz w:val="28"/>
          <w:szCs w:val="28"/>
        </w:rPr>
        <w:t xml:space="preserve">Trên cơ sở đánh giá tác động nêu trên, Sở Nông nghiệp và Môi trường kiến nghị lựa chọn phương án chỉnh lý hồ sơ theo hướng: tên nghị quyết bao quát toàn bộ diện tích rừng trên địa bàn thành phố Hà Nội; các nội dung quản lý chuyên ngành được thực hiện thống nhất theo Luật Lâm nghiệp, Nghị định số 156/2018/NĐ-CP và </w:t>
      </w:r>
      <w:r w:rsidRPr="004E6DE0">
        <w:rPr>
          <w:sz w:val="28"/>
          <w:szCs w:val="28"/>
        </w:rPr>
        <w:lastRenderedPageBreak/>
        <w:t>các văn bản sửa đổi, bổ sung, thay thế; các chính sách, mức hỗ trợ, mức chi đã được Nghị quyết số 54/2025/NQ-HĐND quy định và còn phù hợp thì tiếp tục áp dụng; chỉ bổ sung các nội dung mới thật sự cần thiết, đúng thẩm quyền của Hội đồng nhân dân Thành phố.</w:t>
      </w:r>
    </w:p>
    <w:p w:rsidR="00D76087" w:rsidRPr="004E6DE0" w:rsidRDefault="00393A09">
      <w:pPr>
        <w:spacing w:after="60"/>
        <w:ind w:firstLine="709"/>
        <w:jc w:val="both"/>
        <w:rPr>
          <w:sz w:val="28"/>
          <w:szCs w:val="28"/>
        </w:rPr>
      </w:pPr>
      <w:r w:rsidRPr="004E6DE0">
        <w:rPr>
          <w:sz w:val="28"/>
          <w:szCs w:val="28"/>
        </w:rPr>
        <w:t>Kiến nghị Ủy ban nhân dân Thành phố xem xét, chấp thuận phương án nêu trên để hoàn thiện hồ sơ trình Hội đồng nhân dân Thành phố xem xét, quyết định.</w:t>
      </w:r>
    </w:p>
    <w:tbl>
      <w:tblPr>
        <w:tblW w:w="0" w:type="auto"/>
        <w:jc w:val="center"/>
        <w:tblLayout w:type="fixed"/>
        <w:tblLook w:val="04A0" w:firstRow="1" w:lastRow="0" w:firstColumn="1" w:lastColumn="0" w:noHBand="0" w:noVBand="1"/>
      </w:tblPr>
      <w:tblGrid>
        <w:gridCol w:w="4702"/>
        <w:gridCol w:w="4702"/>
      </w:tblGrid>
      <w:tr w:rsidR="00D76087">
        <w:trPr>
          <w:jc w:val="center"/>
        </w:trPr>
        <w:tc>
          <w:tcPr>
            <w:tcW w:w="4702" w:type="dxa"/>
            <w:tcBorders>
              <w:top w:val="nil"/>
              <w:left w:val="nil"/>
              <w:bottom w:val="nil"/>
              <w:right w:val="nil"/>
            </w:tcBorders>
          </w:tcPr>
          <w:p w:rsidR="00D76087" w:rsidRDefault="00D76087"/>
          <w:p w:rsidR="00D76087" w:rsidRPr="00393A09" w:rsidRDefault="00393A09">
            <w:pPr>
              <w:spacing w:after="0"/>
              <w:rPr>
                <w:b/>
                <w:bCs/>
                <w:i/>
                <w:iCs/>
              </w:rPr>
            </w:pPr>
            <w:r w:rsidRPr="00393A09">
              <w:rPr>
                <w:b/>
                <w:bCs/>
                <w:i/>
                <w:iCs/>
                <w:sz w:val="24"/>
              </w:rPr>
              <w:t>Nơi nhận:</w:t>
            </w:r>
          </w:p>
          <w:p w:rsidR="00D76087" w:rsidRPr="00393A09" w:rsidRDefault="00393A09">
            <w:pPr>
              <w:spacing w:after="0"/>
              <w:rPr>
                <w:i/>
                <w:iCs/>
              </w:rPr>
            </w:pPr>
            <w:r w:rsidRPr="00393A09">
              <w:rPr>
                <w:i/>
                <w:iCs/>
                <w:sz w:val="24"/>
              </w:rPr>
              <w:t>- UBND Thành phố;</w:t>
            </w:r>
          </w:p>
          <w:p w:rsidR="00D76087" w:rsidRPr="00393A09" w:rsidRDefault="00393A09">
            <w:pPr>
              <w:spacing w:after="0"/>
              <w:rPr>
                <w:i/>
                <w:iCs/>
              </w:rPr>
            </w:pPr>
            <w:r w:rsidRPr="00393A09">
              <w:rPr>
                <w:i/>
                <w:iCs/>
                <w:sz w:val="24"/>
              </w:rPr>
              <w:t>- Sở Tư pháp;</w:t>
            </w:r>
          </w:p>
          <w:p w:rsidR="00D76087" w:rsidRDefault="00393A09">
            <w:pPr>
              <w:spacing w:after="0"/>
            </w:pPr>
            <w:r w:rsidRPr="00393A09">
              <w:rPr>
                <w:i/>
                <w:iCs/>
                <w:sz w:val="24"/>
              </w:rPr>
              <w:t>- Lưu: VT, ...</w:t>
            </w:r>
          </w:p>
        </w:tc>
        <w:tc>
          <w:tcPr>
            <w:tcW w:w="4702" w:type="dxa"/>
            <w:tcBorders>
              <w:top w:val="nil"/>
              <w:left w:val="nil"/>
              <w:bottom w:val="nil"/>
              <w:right w:val="nil"/>
            </w:tcBorders>
          </w:tcPr>
          <w:p w:rsidR="00D76087" w:rsidRDefault="00D76087"/>
          <w:p w:rsidR="00D76087" w:rsidRPr="004E6DE0" w:rsidRDefault="00393A09">
            <w:pPr>
              <w:spacing w:after="0"/>
              <w:jc w:val="center"/>
              <w:rPr>
                <w:sz w:val="28"/>
                <w:szCs w:val="28"/>
              </w:rPr>
            </w:pPr>
            <w:r w:rsidRPr="004E6DE0">
              <w:rPr>
                <w:b/>
                <w:sz w:val="28"/>
                <w:szCs w:val="28"/>
              </w:rPr>
              <w:t>GIÁM ĐỐC</w:t>
            </w:r>
          </w:p>
          <w:p w:rsidR="00D76087" w:rsidRPr="004E6DE0" w:rsidRDefault="00393A09">
            <w:pPr>
              <w:spacing w:after="0"/>
              <w:jc w:val="center"/>
              <w:rPr>
                <w:sz w:val="28"/>
                <w:szCs w:val="28"/>
              </w:rPr>
            </w:pPr>
            <w:r w:rsidRPr="004E6DE0">
              <w:rPr>
                <w:sz w:val="28"/>
                <w:szCs w:val="28"/>
              </w:rPr>
              <w:t xml:space="preserve"> </w:t>
            </w:r>
          </w:p>
          <w:p w:rsidR="00D76087" w:rsidRPr="004E6DE0" w:rsidRDefault="00393A09">
            <w:pPr>
              <w:spacing w:after="0"/>
              <w:jc w:val="center"/>
              <w:rPr>
                <w:sz w:val="28"/>
                <w:szCs w:val="28"/>
              </w:rPr>
            </w:pPr>
            <w:r w:rsidRPr="004E6DE0">
              <w:rPr>
                <w:sz w:val="28"/>
                <w:szCs w:val="28"/>
              </w:rPr>
              <w:t xml:space="preserve"> </w:t>
            </w:r>
          </w:p>
          <w:p w:rsidR="00D76087" w:rsidRPr="004E6DE0" w:rsidRDefault="00393A09">
            <w:pPr>
              <w:spacing w:after="0"/>
              <w:jc w:val="center"/>
              <w:rPr>
                <w:sz w:val="28"/>
                <w:szCs w:val="28"/>
              </w:rPr>
            </w:pPr>
            <w:r w:rsidRPr="004E6DE0">
              <w:rPr>
                <w:sz w:val="28"/>
                <w:szCs w:val="28"/>
              </w:rPr>
              <w:t xml:space="preserve"> </w:t>
            </w:r>
          </w:p>
          <w:p w:rsidR="00D76087" w:rsidRDefault="00393A09">
            <w:pPr>
              <w:spacing w:after="0"/>
              <w:jc w:val="center"/>
            </w:pPr>
            <w:r w:rsidRPr="004E6DE0">
              <w:rPr>
                <w:b/>
                <w:sz w:val="28"/>
                <w:szCs w:val="28"/>
              </w:rPr>
              <w:t>Bùi Duy Cường</w:t>
            </w:r>
          </w:p>
        </w:tc>
      </w:tr>
    </w:tbl>
    <w:p w:rsidR="003100BA" w:rsidRDefault="003100BA"/>
    <w:sectPr w:rsidR="003100BA" w:rsidSect="008921D1">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2B2EE8"/>
    <w:rsid w:val="003100BA"/>
    <w:rsid w:val="00326F90"/>
    <w:rsid w:val="00393A09"/>
    <w:rsid w:val="004E6DE0"/>
    <w:rsid w:val="008921D1"/>
    <w:rsid w:val="00AA1D8D"/>
    <w:rsid w:val="00AD131D"/>
    <w:rsid w:val="00B47730"/>
    <w:rsid w:val="00CB0664"/>
    <w:rsid w:val="00D760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53C35CA-F65E-064F-B77B-05BC4F29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F0F35-49A8-4FAA-8154-17D847DC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2026-04-29T02:56:00Z</dcterms:created>
  <dcterms:modified xsi:type="dcterms:W3CDTF">2026-04-29T02:56:00Z</dcterms:modified>
  <cp:category/>
</cp:coreProperties>
</file>